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8A" w:rsidRDefault="00D6638A"/>
    <w:p w:rsidR="006958CB" w:rsidRPr="00CB4AE7" w:rsidRDefault="00CA5A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24, 2020</w:t>
      </w:r>
    </w:p>
    <w:p w:rsidR="006958CB" w:rsidRPr="00CB4AE7" w:rsidRDefault="006958CB">
      <w:pPr>
        <w:rPr>
          <w:rFonts w:asciiTheme="majorHAnsi" w:hAnsiTheme="majorHAnsi" w:cstheme="majorHAnsi"/>
        </w:rPr>
      </w:pPr>
      <w:r w:rsidRPr="00CB4AE7">
        <w:rPr>
          <w:rFonts w:asciiTheme="majorHAnsi" w:hAnsiTheme="majorHAnsi" w:cstheme="majorHAnsi"/>
        </w:rPr>
        <w:t xml:space="preserve">Dear Parents, </w:t>
      </w:r>
    </w:p>
    <w:p w:rsidR="009815F0" w:rsidRPr="00CB4AE7" w:rsidRDefault="004F03F6" w:rsidP="009815F0">
      <w:pPr>
        <w:widowControl w:val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B4AE7">
        <w:rPr>
          <w:rFonts w:asciiTheme="majorHAnsi" w:hAnsiTheme="majorHAnsi" w:cstheme="majorHAnsi"/>
        </w:rPr>
        <w:t>Fort Bend ISD utilizes Renaissance Star</w:t>
      </w:r>
      <w:r w:rsidR="005319F2" w:rsidRPr="00CB4AE7">
        <w:rPr>
          <w:rFonts w:asciiTheme="majorHAnsi" w:hAnsiTheme="majorHAnsi" w:cstheme="majorHAnsi"/>
        </w:rPr>
        <w:t xml:space="preserve"> 360 (Ren 360), a universal screener, to identify </w:t>
      </w:r>
      <w:r w:rsidR="002731A3">
        <w:rPr>
          <w:rFonts w:asciiTheme="majorHAnsi" w:hAnsiTheme="majorHAnsi" w:cstheme="majorHAnsi"/>
        </w:rPr>
        <w:t>the strengths and growth areas</w:t>
      </w:r>
      <w:r w:rsidR="005B4C06">
        <w:rPr>
          <w:rFonts w:asciiTheme="majorHAnsi" w:hAnsiTheme="majorHAnsi" w:cstheme="majorHAnsi"/>
        </w:rPr>
        <w:t xml:space="preserve"> of individual </w:t>
      </w:r>
      <w:r w:rsidR="005319F2" w:rsidRPr="00CB4AE7">
        <w:rPr>
          <w:rFonts w:asciiTheme="majorHAnsi" w:hAnsiTheme="majorHAnsi" w:cstheme="majorHAnsi"/>
        </w:rPr>
        <w:t>students</w:t>
      </w:r>
      <w:r w:rsidR="002731A3">
        <w:rPr>
          <w:rFonts w:asciiTheme="majorHAnsi" w:hAnsiTheme="majorHAnsi" w:cstheme="majorHAnsi"/>
        </w:rPr>
        <w:t>.</w:t>
      </w:r>
      <w:r w:rsidR="005B4C06">
        <w:rPr>
          <w:rFonts w:asciiTheme="majorHAnsi" w:hAnsiTheme="majorHAnsi" w:cstheme="majorHAnsi"/>
        </w:rPr>
        <w:t xml:space="preserve"> </w:t>
      </w:r>
      <w:r w:rsidR="005319F2" w:rsidRPr="00CB4AE7">
        <w:rPr>
          <w:rFonts w:asciiTheme="majorHAnsi" w:hAnsiTheme="majorHAnsi" w:cstheme="majorHAnsi"/>
        </w:rPr>
        <w:t xml:space="preserve">  </w:t>
      </w:r>
      <w:r w:rsidR="005B4C06">
        <w:rPr>
          <w:rFonts w:asciiTheme="majorHAnsi" w:hAnsiTheme="majorHAnsi" w:cstheme="majorHAnsi"/>
          <w:color w:val="212121"/>
          <w:sz w:val="24"/>
          <w:szCs w:val="24"/>
        </w:rPr>
        <w:t>Ren 360</w:t>
      </w:r>
      <w:r w:rsidR="006958CB" w:rsidRPr="00CB4AE7">
        <w:rPr>
          <w:rFonts w:asciiTheme="majorHAnsi" w:hAnsiTheme="majorHAnsi" w:cstheme="majorHAnsi"/>
          <w:color w:val="212121"/>
          <w:sz w:val="24"/>
          <w:szCs w:val="24"/>
        </w:rPr>
        <w:t xml:space="preserve"> is a </w:t>
      </w:r>
      <w:r w:rsidR="005B4C06">
        <w:rPr>
          <w:rFonts w:asciiTheme="majorHAnsi" w:hAnsiTheme="majorHAnsi" w:cstheme="majorHAnsi"/>
          <w:color w:val="000000"/>
          <w:sz w:val="24"/>
          <w:szCs w:val="24"/>
        </w:rPr>
        <w:t>short</w:t>
      </w:r>
      <w:r w:rsidR="006958CB" w:rsidRPr="00CB4AE7">
        <w:rPr>
          <w:rFonts w:asciiTheme="majorHAnsi" w:hAnsiTheme="majorHAnsi" w:cstheme="majorHAnsi"/>
          <w:color w:val="000000"/>
          <w:sz w:val="24"/>
          <w:szCs w:val="24"/>
        </w:rPr>
        <w:t xml:space="preserve">, computer-adaptive </w:t>
      </w:r>
      <w:r w:rsidRPr="00CB4AE7">
        <w:rPr>
          <w:rFonts w:asciiTheme="majorHAnsi" w:hAnsiTheme="majorHAnsi" w:cstheme="majorHAnsi"/>
          <w:color w:val="000000"/>
          <w:sz w:val="24"/>
          <w:szCs w:val="24"/>
        </w:rPr>
        <w:t>assessment</w:t>
      </w:r>
      <w:r w:rsidR="006958CB" w:rsidRPr="00CB4AE7">
        <w:rPr>
          <w:rFonts w:asciiTheme="majorHAnsi" w:hAnsiTheme="majorHAnsi" w:cstheme="majorHAnsi"/>
          <w:color w:val="000000"/>
          <w:sz w:val="24"/>
          <w:szCs w:val="24"/>
        </w:rPr>
        <w:t xml:space="preserve"> given to students in </w:t>
      </w:r>
      <w:r w:rsidRPr="00CB4AE7">
        <w:rPr>
          <w:rFonts w:asciiTheme="majorHAnsi" w:hAnsiTheme="majorHAnsi" w:cstheme="majorHAnsi"/>
          <w:color w:val="000000"/>
          <w:sz w:val="24"/>
          <w:szCs w:val="24"/>
        </w:rPr>
        <w:t>grades</w:t>
      </w:r>
      <w:r w:rsidR="006958CB" w:rsidRPr="00CB4AE7">
        <w:rPr>
          <w:rFonts w:asciiTheme="majorHAnsi" w:hAnsiTheme="majorHAnsi" w:cstheme="majorHAnsi"/>
          <w:color w:val="000000"/>
          <w:sz w:val="24"/>
          <w:szCs w:val="24"/>
        </w:rPr>
        <w:t xml:space="preserve"> K-10 </w:t>
      </w:r>
      <w:r w:rsidR="005319F2" w:rsidRPr="00CB4AE7">
        <w:rPr>
          <w:rFonts w:asciiTheme="majorHAnsi" w:hAnsiTheme="majorHAnsi" w:cstheme="majorHAnsi"/>
          <w:color w:val="000000"/>
          <w:sz w:val="24"/>
          <w:szCs w:val="24"/>
        </w:rPr>
        <w:t xml:space="preserve">three times a year in September, January, and April.  </w:t>
      </w:r>
      <w:r w:rsidR="005B4C06">
        <w:rPr>
          <w:rFonts w:asciiTheme="majorHAnsi" w:hAnsiTheme="majorHAnsi" w:cstheme="majorHAnsi"/>
          <w:color w:val="000000"/>
          <w:sz w:val="24"/>
          <w:szCs w:val="24"/>
        </w:rPr>
        <w:t>Over time, t</w:t>
      </w:r>
      <w:r w:rsidR="005319F2" w:rsidRPr="00CB4AE7">
        <w:rPr>
          <w:rFonts w:asciiTheme="majorHAnsi" w:hAnsiTheme="majorHAnsi" w:cstheme="majorHAnsi"/>
          <w:color w:val="000000"/>
          <w:sz w:val="24"/>
          <w:szCs w:val="24"/>
        </w:rPr>
        <w:t>he data from the screene</w:t>
      </w:r>
      <w:r w:rsidR="006958CB" w:rsidRPr="00CB4AE7">
        <w:rPr>
          <w:rFonts w:asciiTheme="majorHAnsi" w:hAnsiTheme="majorHAnsi" w:cstheme="majorHAnsi"/>
          <w:color w:val="000000"/>
          <w:sz w:val="24"/>
          <w:szCs w:val="24"/>
        </w:rPr>
        <w:t xml:space="preserve">r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a</w:t>
      </w:r>
      <w:r w:rsidR="006958CB" w:rsidRPr="00CB4AE7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lo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w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s</w:t>
      </w:r>
      <w:r w:rsidR="006958CB" w:rsidRPr="00CB4AE7">
        <w:rPr>
          <w:rFonts w:asciiTheme="majorHAnsi" w:eastAsia="Times New Roman" w:hAnsiTheme="majorHAnsi" w:cstheme="majorHAnsi"/>
          <w:spacing w:val="15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ca</w:t>
      </w:r>
      <w:r w:rsidR="006958CB" w:rsidRPr="00CB4AE7">
        <w:rPr>
          <w:rFonts w:asciiTheme="majorHAnsi" w:eastAsia="Times New Roman" w:hAnsiTheme="majorHAnsi" w:cstheme="majorHAnsi"/>
          <w:spacing w:val="-4"/>
          <w:sz w:val="24"/>
          <w:szCs w:val="24"/>
        </w:rPr>
        <w:t>m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pus</w:t>
      </w:r>
      <w:r w:rsidR="006958CB" w:rsidRPr="00CB4AE7">
        <w:rPr>
          <w:rFonts w:asciiTheme="majorHAnsi" w:eastAsia="Times New Roman" w:hAnsiTheme="majorHAnsi" w:cstheme="majorHAnsi"/>
          <w:spacing w:val="17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tea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c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he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r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s,</w:t>
      </w:r>
      <w:r w:rsidR="006958CB" w:rsidRPr="00CB4AE7">
        <w:rPr>
          <w:rFonts w:asciiTheme="majorHAnsi" w:eastAsia="Times New Roman" w:hAnsiTheme="majorHAnsi" w:cstheme="majorHAnsi"/>
          <w:spacing w:val="17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specialists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,</w:t>
      </w:r>
      <w:r w:rsidR="006958CB" w:rsidRPr="00CB4AE7">
        <w:rPr>
          <w:rFonts w:asciiTheme="majorHAnsi" w:eastAsia="Times New Roman" w:hAnsiTheme="majorHAnsi" w:cstheme="majorHAnsi"/>
          <w:spacing w:val="17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and</w:t>
      </w:r>
      <w:r w:rsidR="006958CB" w:rsidRPr="00CB4AE7">
        <w:rPr>
          <w:rFonts w:asciiTheme="majorHAnsi" w:eastAsia="Times New Roman" w:hAnsiTheme="majorHAnsi" w:cstheme="majorHAnsi"/>
          <w:spacing w:val="17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ad</w:t>
      </w:r>
      <w:r w:rsidR="006958CB" w:rsidRPr="00CB4AE7">
        <w:rPr>
          <w:rFonts w:asciiTheme="majorHAnsi" w:eastAsia="Times New Roman" w:hAnsiTheme="majorHAnsi" w:cstheme="majorHAnsi"/>
          <w:spacing w:val="-4"/>
          <w:sz w:val="24"/>
          <w:szCs w:val="24"/>
        </w:rPr>
        <w:t>m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in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i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s</w:t>
      </w:r>
      <w:r w:rsidR="006958CB" w:rsidRPr="00CB4AE7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ra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ors</w:t>
      </w:r>
      <w:r w:rsidR="006958CB" w:rsidRPr="00CB4AE7">
        <w:rPr>
          <w:rFonts w:asciiTheme="majorHAnsi" w:eastAsia="Times New Roman" w:hAnsiTheme="majorHAnsi" w:cstheme="majorHAnsi"/>
          <w:spacing w:val="15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o ex</w:t>
      </w:r>
      <w:r w:rsidR="006958CB" w:rsidRPr="00CB4AE7">
        <w:rPr>
          <w:rFonts w:asciiTheme="majorHAnsi" w:eastAsia="Times New Roman" w:hAnsiTheme="majorHAnsi" w:cstheme="majorHAnsi"/>
          <w:spacing w:val="1"/>
          <w:sz w:val="24"/>
          <w:szCs w:val="24"/>
        </w:rPr>
        <w:t>a</w:t>
      </w:r>
      <w:r w:rsidR="006958CB" w:rsidRPr="00CB4AE7">
        <w:rPr>
          <w:rFonts w:asciiTheme="majorHAnsi" w:eastAsia="Times New Roman" w:hAnsiTheme="majorHAnsi" w:cstheme="majorHAnsi"/>
          <w:spacing w:val="-4"/>
          <w:sz w:val="24"/>
          <w:szCs w:val="24"/>
        </w:rPr>
        <w:t>m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ine</w:t>
      </w:r>
      <w:r w:rsidR="006958CB" w:rsidRPr="00CB4AE7">
        <w:rPr>
          <w:rFonts w:asciiTheme="majorHAnsi" w:eastAsia="Times New Roman" w:hAnsiTheme="majorHAnsi" w:cstheme="majorHAnsi"/>
          <w:spacing w:val="24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pacing w:val="-3"/>
          <w:sz w:val="24"/>
          <w:szCs w:val="24"/>
        </w:rPr>
        <w:t>h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e</w:t>
      </w:r>
      <w:r w:rsidR="006958CB" w:rsidRPr="00CB4AE7">
        <w:rPr>
          <w:rFonts w:asciiTheme="majorHAnsi" w:eastAsia="Times New Roman" w:hAnsiTheme="majorHAnsi" w:cstheme="majorHAnsi"/>
          <w:spacing w:val="24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e</w:t>
      </w:r>
      <w:r w:rsidR="006958CB" w:rsidRPr="00CB4AE7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f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e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c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i</w:t>
      </w:r>
      <w:r w:rsidR="006958CB" w:rsidRPr="00CB4AE7">
        <w:rPr>
          <w:rFonts w:asciiTheme="majorHAnsi" w:eastAsia="Times New Roman" w:hAnsiTheme="majorHAnsi" w:cstheme="majorHAnsi"/>
          <w:spacing w:val="-3"/>
          <w:sz w:val="24"/>
          <w:szCs w:val="24"/>
        </w:rPr>
        <w:t>v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eness</w:t>
      </w:r>
      <w:r w:rsidR="006958CB" w:rsidRPr="00CB4AE7">
        <w:rPr>
          <w:rFonts w:asciiTheme="majorHAnsi" w:eastAsia="Times New Roman" w:hAnsiTheme="majorHAnsi" w:cstheme="majorHAnsi"/>
          <w:spacing w:val="22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of</w:t>
      </w:r>
      <w:r w:rsidR="006958CB" w:rsidRPr="00CB4AE7">
        <w:rPr>
          <w:rFonts w:asciiTheme="majorHAnsi" w:eastAsia="Times New Roman" w:hAnsiTheme="majorHAnsi" w:cstheme="majorHAnsi"/>
          <w:spacing w:val="22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pacing w:val="1"/>
          <w:sz w:val="24"/>
          <w:szCs w:val="24"/>
        </w:rPr>
        <w:t>classroom</w:t>
      </w:r>
      <w:r w:rsidR="006958CB" w:rsidRPr="00CB4AE7">
        <w:rPr>
          <w:rFonts w:asciiTheme="majorHAnsi" w:eastAsia="Times New Roman" w:hAnsiTheme="majorHAnsi" w:cstheme="majorHAnsi"/>
          <w:spacing w:val="21"/>
          <w:sz w:val="24"/>
          <w:szCs w:val="24"/>
        </w:rPr>
        <w:t xml:space="preserve"> 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in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s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r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uc</w:t>
      </w:r>
      <w:r w:rsidR="006958CB" w:rsidRPr="00CB4AE7">
        <w:rPr>
          <w:rFonts w:asciiTheme="majorHAnsi" w:eastAsia="Times New Roman" w:hAnsiTheme="majorHAnsi" w:cstheme="majorHAnsi"/>
          <w:spacing w:val="-2"/>
          <w:sz w:val="24"/>
          <w:szCs w:val="24"/>
        </w:rPr>
        <w:t>t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>io</w:t>
      </w:r>
      <w:r w:rsidR="006958CB" w:rsidRPr="00CB4AE7">
        <w:rPr>
          <w:rFonts w:asciiTheme="majorHAnsi" w:eastAsia="Times New Roman" w:hAnsiTheme="majorHAnsi" w:cstheme="majorHAnsi"/>
          <w:spacing w:val="3"/>
          <w:sz w:val="24"/>
          <w:szCs w:val="24"/>
        </w:rPr>
        <w:t>n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319F2" w:rsidRPr="00CB4AE7">
        <w:rPr>
          <w:rFonts w:asciiTheme="majorHAnsi" w:eastAsia="Times New Roman" w:hAnsiTheme="majorHAnsi" w:cstheme="majorHAnsi"/>
          <w:sz w:val="24"/>
          <w:szCs w:val="24"/>
        </w:rPr>
        <w:t>and to monitor student growth</w:t>
      </w:r>
      <w:r w:rsidR="002731A3">
        <w:rPr>
          <w:rFonts w:asciiTheme="majorHAnsi" w:eastAsia="Times New Roman" w:hAnsiTheme="majorHAnsi" w:cstheme="majorHAnsi"/>
          <w:sz w:val="24"/>
          <w:szCs w:val="24"/>
        </w:rPr>
        <w:t>.</w:t>
      </w:r>
      <w:r w:rsidR="005319F2" w:rsidRPr="00CB4AE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815F0" w:rsidRPr="00CB4AE7" w:rsidRDefault="005319F2" w:rsidP="009815F0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B4AE7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6958CB" w:rsidRPr="00CB4AE7">
        <w:rPr>
          <w:rFonts w:asciiTheme="majorHAnsi" w:eastAsia="Times New Roman" w:hAnsiTheme="majorHAnsi" w:cstheme="majorHAnsi"/>
          <w:sz w:val="24"/>
          <w:szCs w:val="24"/>
        </w:rPr>
        <w:t xml:space="preserve"> following students </w:t>
      </w:r>
      <w:r w:rsidRPr="00CB4AE7">
        <w:rPr>
          <w:rFonts w:asciiTheme="majorHAnsi" w:eastAsia="Times New Roman" w:hAnsiTheme="majorHAnsi" w:cstheme="majorHAnsi"/>
          <w:sz w:val="24"/>
          <w:szCs w:val="24"/>
        </w:rPr>
        <w:t>are</w:t>
      </w:r>
      <w:r w:rsidR="00CB4AE7">
        <w:rPr>
          <w:rFonts w:asciiTheme="majorHAnsi" w:eastAsia="Times New Roman" w:hAnsiTheme="majorHAnsi" w:cstheme="majorHAnsi"/>
          <w:sz w:val="24"/>
          <w:szCs w:val="24"/>
        </w:rPr>
        <w:t xml:space="preserve"> required to take the screener</w:t>
      </w:r>
      <w:r w:rsidRPr="00CB4AE7">
        <w:rPr>
          <w:rFonts w:asciiTheme="majorHAnsi" w:eastAsia="Times New Roman" w:hAnsiTheme="majorHAnsi" w:cstheme="majorHAnsi"/>
          <w:sz w:val="24"/>
          <w:szCs w:val="24"/>
        </w:rPr>
        <w:t xml:space="preserve"> according to the 2019-20 Renaissance Testing Guidelines.  </w:t>
      </w:r>
    </w:p>
    <w:tbl>
      <w:tblPr>
        <w:tblStyle w:val="TableGrid"/>
        <w:tblpPr w:leftFromText="180" w:rightFromText="180" w:vertAnchor="text" w:tblpX="-653"/>
        <w:tblW w:w="10435" w:type="dxa"/>
        <w:tblLook w:val="04A0" w:firstRow="1" w:lastRow="0" w:firstColumn="1" w:lastColumn="0" w:noHBand="0" w:noVBand="1"/>
      </w:tblPr>
      <w:tblGrid>
        <w:gridCol w:w="2875"/>
        <w:gridCol w:w="4320"/>
        <w:gridCol w:w="3240"/>
      </w:tblGrid>
      <w:tr w:rsidR="00CB4AE7" w:rsidRPr="00CB4AE7" w:rsidTr="00CB4AE7">
        <w:trPr>
          <w:trHeight w:val="402"/>
        </w:trPr>
        <w:tc>
          <w:tcPr>
            <w:tcW w:w="2875" w:type="dxa"/>
            <w:shd w:val="clear" w:color="auto" w:fill="D0CECE" w:themeFill="background2" w:themeFillShade="E6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B4AE7">
              <w:rPr>
                <w:rFonts w:ascii="Calibri Light" w:hAnsi="Calibri Light" w:cs="Calibri Light"/>
                <w:b/>
                <w:bCs/>
              </w:rPr>
              <w:t>Testing Window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B4AE7">
              <w:rPr>
                <w:rFonts w:ascii="Calibri Light" w:hAnsi="Calibri Light" w:cs="Calibri Light"/>
                <w:b/>
                <w:bCs/>
              </w:rPr>
              <w:t>Elementary</w:t>
            </w:r>
          </w:p>
        </w:tc>
        <w:tc>
          <w:tcPr>
            <w:tcW w:w="3240" w:type="dxa"/>
            <w:shd w:val="clear" w:color="auto" w:fill="D0CECE" w:themeFill="background2" w:themeFillShade="E6"/>
            <w:hideMark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B4AE7">
              <w:rPr>
                <w:rFonts w:ascii="Calibri Light" w:hAnsi="Calibri Light" w:cs="Calibri Light"/>
                <w:b/>
                <w:bCs/>
              </w:rPr>
              <w:t>Secondary</w:t>
            </w:r>
          </w:p>
        </w:tc>
      </w:tr>
      <w:tr w:rsidR="00CB4AE7" w:rsidRPr="00CB4AE7" w:rsidTr="00CB4AE7">
        <w:trPr>
          <w:trHeight w:val="1472"/>
        </w:trPr>
        <w:tc>
          <w:tcPr>
            <w:tcW w:w="2875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BOY</w:t>
            </w:r>
          </w:p>
          <w:p w:rsidR="00CB4AE7" w:rsidRPr="00CB4AE7" w:rsidRDefault="00CB4AE7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Beginning of the Year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August 26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="00CB4AE7" w:rsidRPr="00CB4AE7">
              <w:rPr>
                <w:rFonts w:ascii="Calibri Light" w:hAnsi="Calibri Light" w:cs="Calibri Light"/>
              </w:rPr>
              <w:t xml:space="preserve"> – Septemb</w:t>
            </w:r>
            <w:r w:rsidRPr="00CB4AE7">
              <w:rPr>
                <w:rFonts w:ascii="Calibri Light" w:hAnsi="Calibri Light" w:cs="Calibri Light"/>
              </w:rPr>
              <w:t>er 13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320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Kinder</w:t>
            </w:r>
            <w:r w:rsidR="005B4C06">
              <w:rPr>
                <w:rFonts w:ascii="Calibri Light" w:hAnsi="Calibri Light" w:cs="Calibri Light"/>
              </w:rPr>
              <w:t>garten</w:t>
            </w:r>
            <w:r w:rsidRPr="00CB4AE7">
              <w:rPr>
                <w:rFonts w:ascii="Calibri Light" w:hAnsi="Calibri Light" w:cs="Calibri Light"/>
              </w:rPr>
              <w:t>: Early Literacy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First Grade: Early Literacy, Reading, &amp; Math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Second Grade – Fifth Grade:  Reading &amp; Math</w:t>
            </w:r>
          </w:p>
        </w:tc>
        <w:tc>
          <w:tcPr>
            <w:tcW w:w="3240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6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– 10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grade student who did not achieve the “Approaches” performance level on the</w:t>
            </w:r>
            <w:r w:rsidR="00CB4AE7" w:rsidRPr="00CB4AE7">
              <w:rPr>
                <w:rFonts w:ascii="Calibri Light" w:hAnsi="Calibri Light" w:cs="Calibri Light"/>
              </w:rPr>
              <w:t xml:space="preserve"> 2019 Spring STAAR or EOC </w:t>
            </w:r>
            <w:r w:rsidRPr="00CB4AE7">
              <w:rPr>
                <w:rFonts w:ascii="Calibri Light" w:hAnsi="Calibri Light" w:cs="Calibri Light"/>
              </w:rPr>
              <w:t>Reading/ Math assessments</w:t>
            </w:r>
          </w:p>
        </w:tc>
      </w:tr>
      <w:tr w:rsidR="00CB4AE7" w:rsidRPr="00CB4AE7" w:rsidTr="00CB4AE7">
        <w:trPr>
          <w:trHeight w:val="1617"/>
        </w:trPr>
        <w:tc>
          <w:tcPr>
            <w:tcW w:w="2875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MOY</w:t>
            </w:r>
          </w:p>
          <w:p w:rsidR="00CB4AE7" w:rsidRPr="00CB4AE7" w:rsidRDefault="00CB4AE7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Middle of the Year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January 13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– January 31</w:t>
            </w:r>
            <w:r w:rsidRPr="00CB4AE7">
              <w:rPr>
                <w:rFonts w:ascii="Calibri Light" w:hAnsi="Calibri Light" w:cs="Calibri Light"/>
                <w:vertAlign w:val="superscript"/>
              </w:rPr>
              <w:t>st</w:t>
            </w:r>
          </w:p>
        </w:tc>
        <w:tc>
          <w:tcPr>
            <w:tcW w:w="4320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Kinder</w:t>
            </w:r>
            <w:r w:rsidR="005B4C06">
              <w:rPr>
                <w:rFonts w:ascii="Calibri Light" w:hAnsi="Calibri Light" w:cs="Calibri Light"/>
              </w:rPr>
              <w:t>garten</w:t>
            </w:r>
            <w:r w:rsidRPr="00CB4AE7">
              <w:rPr>
                <w:rFonts w:ascii="Calibri Light" w:hAnsi="Calibri Light" w:cs="Calibri Light"/>
              </w:rPr>
              <w:t>:  Early Literacy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First Grade:  Reading &amp; Math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Second Grade – Fifth Grade:  Reading &amp; Math</w:t>
            </w:r>
          </w:p>
        </w:tc>
        <w:tc>
          <w:tcPr>
            <w:tcW w:w="3240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6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– 10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grade student who did not achieve the “Approaches” performance level on th</w:t>
            </w:r>
            <w:r w:rsidR="00CB4AE7" w:rsidRPr="00CB4AE7">
              <w:rPr>
                <w:rFonts w:ascii="Calibri Light" w:hAnsi="Calibri Light" w:cs="Calibri Light"/>
              </w:rPr>
              <w:t xml:space="preserve">e 2019 Spring STAAR or EOC </w:t>
            </w:r>
            <w:r w:rsidRPr="00CB4AE7">
              <w:rPr>
                <w:rFonts w:ascii="Calibri Light" w:hAnsi="Calibri Light" w:cs="Calibri Light"/>
              </w:rPr>
              <w:t>Reading/ Math assessments</w:t>
            </w:r>
          </w:p>
        </w:tc>
      </w:tr>
      <w:tr w:rsidR="00CB4AE7" w:rsidRPr="00CB4AE7" w:rsidTr="00CB4AE7">
        <w:trPr>
          <w:trHeight w:val="1473"/>
        </w:trPr>
        <w:tc>
          <w:tcPr>
            <w:tcW w:w="2875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EOY</w:t>
            </w:r>
          </w:p>
          <w:p w:rsidR="00CB4AE7" w:rsidRPr="00CB4AE7" w:rsidRDefault="00CB4AE7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End of the Year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April 20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– May 8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</w:p>
        </w:tc>
        <w:tc>
          <w:tcPr>
            <w:tcW w:w="4320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Kinder</w:t>
            </w:r>
            <w:r w:rsidR="005B4C06">
              <w:rPr>
                <w:rFonts w:ascii="Calibri Light" w:hAnsi="Calibri Light" w:cs="Calibri Light"/>
              </w:rPr>
              <w:t>garten</w:t>
            </w:r>
            <w:r w:rsidRPr="00CB4AE7">
              <w:rPr>
                <w:rFonts w:ascii="Calibri Light" w:hAnsi="Calibri Light" w:cs="Calibri Light"/>
              </w:rPr>
              <w:t>:  Early Literacy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First Grade:  Reading &amp; Math</w:t>
            </w:r>
          </w:p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Second Grade – Fifth Grade:  Reading &amp; Math</w:t>
            </w:r>
          </w:p>
        </w:tc>
        <w:tc>
          <w:tcPr>
            <w:tcW w:w="3240" w:type="dxa"/>
          </w:tcPr>
          <w:p w:rsidR="005319F2" w:rsidRPr="00CB4AE7" w:rsidRDefault="005319F2" w:rsidP="00CB4AE7">
            <w:pPr>
              <w:jc w:val="center"/>
              <w:rPr>
                <w:rFonts w:ascii="Calibri Light" w:hAnsi="Calibri Light" w:cs="Calibri Light"/>
              </w:rPr>
            </w:pPr>
            <w:r w:rsidRPr="00CB4AE7">
              <w:rPr>
                <w:rFonts w:ascii="Calibri Light" w:hAnsi="Calibri Light" w:cs="Calibri Light"/>
              </w:rPr>
              <w:t>6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– 10</w:t>
            </w:r>
            <w:r w:rsidRPr="00CB4AE7">
              <w:rPr>
                <w:rFonts w:ascii="Calibri Light" w:hAnsi="Calibri Light" w:cs="Calibri Light"/>
                <w:vertAlign w:val="superscript"/>
              </w:rPr>
              <w:t>th</w:t>
            </w:r>
            <w:r w:rsidRPr="00CB4AE7">
              <w:rPr>
                <w:rFonts w:ascii="Calibri Light" w:hAnsi="Calibri Light" w:cs="Calibri Light"/>
              </w:rPr>
              <w:t xml:space="preserve"> grade student who did not achieve the “Approaches” performance level on th</w:t>
            </w:r>
            <w:r w:rsidR="00CB4AE7" w:rsidRPr="00CB4AE7">
              <w:rPr>
                <w:rFonts w:ascii="Calibri Light" w:hAnsi="Calibri Light" w:cs="Calibri Light"/>
              </w:rPr>
              <w:t xml:space="preserve">e 2019 Spring STAAR or EOC </w:t>
            </w:r>
            <w:r w:rsidRPr="00CB4AE7">
              <w:rPr>
                <w:rFonts w:ascii="Calibri Light" w:hAnsi="Calibri Light" w:cs="Calibri Light"/>
              </w:rPr>
              <w:t>Reading/ Math assessments</w:t>
            </w:r>
          </w:p>
        </w:tc>
      </w:tr>
    </w:tbl>
    <w:p w:rsidR="009815F0" w:rsidRDefault="009815F0"/>
    <w:p w:rsidR="006958CB" w:rsidRPr="00CB4AE7" w:rsidRDefault="005319F2">
      <w:pPr>
        <w:rPr>
          <w:rFonts w:asciiTheme="majorHAnsi" w:hAnsiTheme="majorHAnsi" w:cstheme="majorHAnsi"/>
        </w:rPr>
      </w:pPr>
      <w:r w:rsidRPr="00CB4AE7">
        <w:rPr>
          <w:rFonts w:asciiTheme="majorHAnsi" w:hAnsiTheme="majorHAnsi" w:cstheme="majorHAnsi"/>
        </w:rPr>
        <w:t>If your child</w:t>
      </w:r>
      <w:r w:rsidR="009815F0" w:rsidRPr="00CB4AE7">
        <w:rPr>
          <w:rFonts w:asciiTheme="majorHAnsi" w:hAnsiTheme="majorHAnsi" w:cstheme="majorHAnsi"/>
        </w:rPr>
        <w:t xml:space="preserve"> has taken one</w:t>
      </w:r>
      <w:r w:rsidR="002731A3">
        <w:rPr>
          <w:rFonts w:asciiTheme="majorHAnsi" w:hAnsiTheme="majorHAnsi" w:cstheme="majorHAnsi"/>
        </w:rPr>
        <w:t xml:space="preserve"> or more</w:t>
      </w:r>
      <w:r w:rsidR="009815F0" w:rsidRPr="00CB4AE7">
        <w:rPr>
          <w:rFonts w:asciiTheme="majorHAnsi" w:hAnsiTheme="majorHAnsi" w:cstheme="majorHAnsi"/>
        </w:rPr>
        <w:t xml:space="preserve"> of these assessments, you can now view </w:t>
      </w:r>
      <w:r w:rsidRPr="00CB4AE7">
        <w:rPr>
          <w:rFonts w:asciiTheme="majorHAnsi" w:hAnsiTheme="majorHAnsi" w:cstheme="majorHAnsi"/>
        </w:rPr>
        <w:t>the results in Skyward by accessing the Ren 360 Parent Score Report in Family Access</w:t>
      </w:r>
      <w:r w:rsidR="009815F0" w:rsidRPr="00CB4AE7">
        <w:rPr>
          <w:rFonts w:asciiTheme="majorHAnsi" w:hAnsiTheme="majorHAnsi" w:cstheme="majorHAnsi"/>
        </w:rPr>
        <w:t>. Included with this letter is a job aid that provides the steps to access this report. If you would pref</w:t>
      </w:r>
      <w:r w:rsidRPr="00CB4AE7">
        <w:rPr>
          <w:rFonts w:asciiTheme="majorHAnsi" w:hAnsiTheme="majorHAnsi" w:cstheme="majorHAnsi"/>
        </w:rPr>
        <w:t>er a paper copy of the</w:t>
      </w:r>
      <w:r w:rsidR="009815F0" w:rsidRPr="00CB4AE7">
        <w:rPr>
          <w:rFonts w:asciiTheme="majorHAnsi" w:hAnsiTheme="majorHAnsi" w:cstheme="majorHAnsi"/>
        </w:rPr>
        <w:t xml:space="preserve"> s</w:t>
      </w:r>
      <w:r w:rsidRPr="00CB4AE7">
        <w:rPr>
          <w:rFonts w:asciiTheme="majorHAnsi" w:hAnsiTheme="majorHAnsi" w:cstheme="majorHAnsi"/>
        </w:rPr>
        <w:t xml:space="preserve">core report, please notify the </w:t>
      </w:r>
      <w:r w:rsidR="009815F0" w:rsidRPr="00CB4AE7">
        <w:rPr>
          <w:rFonts w:asciiTheme="majorHAnsi" w:hAnsiTheme="majorHAnsi" w:cstheme="majorHAnsi"/>
        </w:rPr>
        <w:t xml:space="preserve">campus. </w:t>
      </w:r>
    </w:p>
    <w:p w:rsidR="009815F0" w:rsidRPr="00CB4AE7" w:rsidRDefault="009815F0">
      <w:pPr>
        <w:rPr>
          <w:rFonts w:asciiTheme="majorHAnsi" w:hAnsiTheme="majorHAnsi" w:cstheme="majorHAnsi"/>
        </w:rPr>
      </w:pPr>
      <w:r w:rsidRPr="00CB4AE7">
        <w:rPr>
          <w:rFonts w:asciiTheme="majorHAnsi" w:hAnsiTheme="majorHAnsi" w:cstheme="majorHAnsi"/>
        </w:rPr>
        <w:t>Thank you for your continued support!</w:t>
      </w:r>
      <w:bookmarkStart w:id="0" w:name="_GoBack"/>
      <w:bookmarkEnd w:id="0"/>
    </w:p>
    <w:sectPr w:rsidR="009815F0" w:rsidRPr="00CB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88"/>
    <w:multiLevelType w:val="hybridMultilevel"/>
    <w:tmpl w:val="E31A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870B0"/>
    <w:multiLevelType w:val="hybridMultilevel"/>
    <w:tmpl w:val="1E2623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B"/>
    <w:rsid w:val="002731A3"/>
    <w:rsid w:val="002F1DE8"/>
    <w:rsid w:val="004F03F6"/>
    <w:rsid w:val="005319F2"/>
    <w:rsid w:val="005B4C06"/>
    <w:rsid w:val="006958CB"/>
    <w:rsid w:val="009815F0"/>
    <w:rsid w:val="00AE1558"/>
    <w:rsid w:val="00CA5AD1"/>
    <w:rsid w:val="00CB4AE7"/>
    <w:rsid w:val="00D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234F"/>
  <w15:chartTrackingRefBased/>
  <w15:docId w15:val="{C9A6765D-AC8C-4750-8EA5-724EA9D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58CB"/>
    <w:pPr>
      <w:widowControl w:val="0"/>
      <w:spacing w:after="0" w:line="240" w:lineRule="auto"/>
      <w:ind w:left="802"/>
      <w:outlineLvl w:val="0"/>
    </w:pPr>
    <w:rPr>
      <w:rFonts w:ascii="Calibri" w:eastAsia="Calibri" w:hAnsi="Calibri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8CB"/>
    <w:rPr>
      <w:rFonts w:ascii="Calibri" w:eastAsia="Calibri" w:hAnsi="Calibri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695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58C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958C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B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DiToro, Elizabeth</dc:creator>
  <cp:keywords/>
  <dc:description/>
  <cp:lastModifiedBy>Haas, Raymond (Anderson)</cp:lastModifiedBy>
  <cp:revision>2</cp:revision>
  <dcterms:created xsi:type="dcterms:W3CDTF">2020-02-25T00:18:00Z</dcterms:created>
  <dcterms:modified xsi:type="dcterms:W3CDTF">2020-02-25T00:18:00Z</dcterms:modified>
</cp:coreProperties>
</file>